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768C" w14:textId="7AB7D53B" w:rsidR="0032322B" w:rsidRDefault="00585B75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>
        <w:rPr>
          <w:noProof/>
          <w:lang w:eastAsia="hr-HR"/>
        </w:rPr>
        <w:drawing>
          <wp:inline distT="0" distB="0" distL="0" distR="0" wp14:anchorId="797C2FA4" wp14:editId="2C3CA67B">
            <wp:extent cx="1762125" cy="795404"/>
            <wp:effectExtent l="0" t="0" r="0" b="5080"/>
            <wp:docPr id="2" name="Picture 2" descr="Slikovni rezultat za lag marini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ag marinia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E8EE" w14:textId="48CFBA6A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786F89BD" w14:textId="10AD554F" w:rsidR="00674F3F" w:rsidRPr="005D4BE4" w:rsidRDefault="00674F3F" w:rsidP="0032322B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585B75">
        <w:rPr>
          <w:rFonts w:asciiTheme="minorHAnsi" w:eastAsia="Times New Roman" w:hAnsiTheme="minorHAnsi"/>
          <w:b/>
          <w:szCs w:val="28"/>
          <w:lang w:val="hr-HR" w:eastAsia="ar-SA"/>
        </w:rPr>
        <w:t>2.2.1</w:t>
      </w:r>
      <w:bookmarkStart w:id="0" w:name="_GoBack"/>
      <w:bookmarkEnd w:id="0"/>
      <w:r w:rsidR="001A7B83" w:rsidRPr="0032322B">
        <w:rPr>
          <w:rFonts w:asciiTheme="minorHAnsi" w:eastAsia="Times New Roman" w:hAnsiTheme="minorHAnsi"/>
          <w:b/>
          <w:szCs w:val="28"/>
          <w:lang w:val="hr-HR" w:eastAsia="ar-SA"/>
        </w:rPr>
        <w:t>. „</w:t>
      </w:r>
      <w:r w:rsidR="001A7B83">
        <w:rPr>
          <w:rFonts w:asciiTheme="minorHAnsi" w:eastAsia="Times New Roman" w:hAnsiTheme="minorHAnsi"/>
          <w:b/>
          <w:szCs w:val="28"/>
          <w:lang w:val="hr-HR" w:eastAsia="ar-SA"/>
        </w:rPr>
        <w:t>Potpora razvoju malih poljoprivrednih gospodarstava“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9051"/>
      </w:tblGrid>
      <w:tr w:rsidR="00674F3F" w:rsidRPr="00BA5BE9" w14:paraId="3A7BC660" w14:textId="77777777" w:rsidTr="0032322B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7018B254" w:rsidR="00674F3F" w:rsidRPr="00EE3336" w:rsidRDefault="00674F3F" w:rsidP="00EE3336">
            <w:pPr>
              <w:pStyle w:val="CommentText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7C547F20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150BBB" w:rsidRPr="0032322B">
              <w:rPr>
                <w:rFonts w:asciiTheme="minorHAnsi" w:hAnsiTheme="minorHAnsi" w:cs="Arial"/>
                <w:bCs/>
                <w:i/>
              </w:rPr>
              <w:t xml:space="preserve">1. – </w:t>
            </w:r>
            <w:r w:rsidR="000F0B58">
              <w:rPr>
                <w:rFonts w:asciiTheme="minorHAnsi" w:hAnsiTheme="minorHAnsi" w:cs="Arial"/>
                <w:bCs/>
                <w:i/>
              </w:rPr>
              <w:t>13</w:t>
            </w:r>
            <w:r w:rsidR="00FD136A" w:rsidRPr="0032322B">
              <w:rPr>
                <w:rFonts w:asciiTheme="minorHAnsi" w:hAnsiTheme="minorHAnsi" w:cs="Arial"/>
                <w:bCs/>
                <w:i/>
              </w:rPr>
              <w:t>.</w:t>
            </w:r>
            <w:r w:rsidR="008E3794" w:rsidRPr="0032322B">
              <w:rPr>
                <w:rFonts w:ascii="Cambria" w:hAnsi="Cambria" w:cs="Arial"/>
                <w:bCs/>
                <w:i/>
              </w:rPr>
              <w:t>)</w:t>
            </w:r>
          </w:p>
          <w:p w14:paraId="0AE6FA9F" w14:textId="2740CE7E" w:rsidR="008677A0" w:rsidRPr="005D4BE4" w:rsidRDefault="008677A0">
            <w:pPr>
              <w:pStyle w:val="Header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Header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04E9C" w14:textId="7E0805A0" w:rsidR="00674F3F" w:rsidRPr="0032322B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2638A9DE" w14:textId="653359C7" w:rsidR="008F4F37" w:rsidRPr="008F4F37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71EE059" w14:textId="73909A25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 xml:space="preserve"> 1. - 9.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25C2A" w14:textId="77777777" w:rsidR="0032322B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5A265D2C" w:rsidR="00C367FE" w:rsidRPr="0032322B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518640BD" w:rsidR="00CC3CA6" w:rsidRPr="00C71A2B" w:rsidRDefault="00B671FD" w:rsidP="009B6DC0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1AFC0" w14:textId="77777777" w:rsidR="0032322B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</w:t>
            </w:r>
          </w:p>
          <w:p w14:paraId="5EE1B7C9" w14:textId="2FF00B54" w:rsidR="00637568" w:rsidRPr="005D4BE4" w:rsidRDefault="0032322B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</w:t>
            </w:r>
            <w:r w:rsidRPr="00AE07A5">
              <w:rPr>
                <w:rFonts w:asciiTheme="minorHAnsi" w:hAnsiTheme="minorHAnsi"/>
                <w:i/>
                <w:color w:val="000000"/>
                <w:lang w:val="hr-HR"/>
              </w:rPr>
              <w:t>: U Potvrdi ne smije biti naveden dug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, u slučaju da isti postoji prijava projekta se isključuje iz postupka odabira</w:t>
            </w:r>
            <w:r w:rsidRPr="00AE07A5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</w:tc>
      </w:tr>
      <w:tr w:rsidR="00C71A2B" w:rsidRPr="00BA5BE9" w14:paraId="5462C95C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84B03" w14:textId="22EDA840" w:rsidR="00C71A2B" w:rsidRPr="001D6F04" w:rsidRDefault="00C71A2B" w:rsidP="00C71A2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591E8" w14:textId="77777777" w:rsidR="00C71A2B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 xml:space="preserve">Obrazac E. </w:t>
            </w:r>
            <w:r w:rsidRPr="008A1166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IZJAVA O NEPOSTOJANJU / POSTOJANJU SUKOBA INTERESA</w:t>
            </w:r>
          </w:p>
          <w:p w14:paraId="7689067D" w14:textId="3DBB3252" w:rsidR="00C71A2B" w:rsidRPr="00C71A2B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545B92">
              <w:rPr>
                <w:rFonts w:asciiTheme="minorHAnsi" w:hAnsiTheme="minorHAnsi" w:cstheme="minorHAnsi"/>
                <w:color w:val="000000"/>
                <w:lang w:val="hr-HR" w:eastAsia="hr-HR"/>
              </w:rPr>
              <w:t>Pojašnjenje:</w:t>
            </w:r>
          </w:p>
          <w:p w14:paraId="6E6283AF" w14:textId="01CADAB5" w:rsidR="00C71A2B" w:rsidRPr="00C71A2B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Preuzmite predložak (Obrazac E</w:t>
            </w:r>
            <w:r w:rsidRPr="00545B92">
              <w:rPr>
                <w:rFonts w:asciiTheme="minorHAnsi" w:hAnsiTheme="minorHAnsi" w:cstheme="minorHAnsi"/>
                <w:color w:val="000000"/>
                <w:lang w:val="hr-HR" w:eastAsia="hr-HR"/>
              </w:rPr>
              <w:t>. sastavni dio Natječaja) te ga popunite u skladu s pojašnjenjima i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uputama i potpišite </w:t>
            </w:r>
          </w:p>
        </w:tc>
      </w:tr>
      <w:tr w:rsidR="00C71A2B" w:rsidRPr="00BA5BE9" w14:paraId="0244477D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A0272" w14:textId="125C73EC" w:rsidR="00C71A2B" w:rsidRDefault="00C71A2B" w:rsidP="00C71A2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74793" w14:textId="77777777" w:rsidR="00C71A2B" w:rsidRPr="0032396E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F</w:t>
            </w:r>
            <w:r w:rsidRPr="0032396E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. IZJAVA O BESPOVRATNIM SREDSTVIMA</w:t>
            </w:r>
          </w:p>
          <w:p w14:paraId="48918162" w14:textId="77777777" w:rsidR="00C71A2B" w:rsidRPr="0032396E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2396E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Pojašnjenje:</w:t>
            </w:r>
          </w:p>
          <w:p w14:paraId="191CD5D7" w14:textId="111D622C" w:rsidR="00C71A2B" w:rsidRDefault="00C71A2B" w:rsidP="00C71A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Preuzmite predložak (Obrazac F</w:t>
            </w:r>
            <w:r w:rsidRPr="0032396E">
              <w:rPr>
                <w:rFonts w:asciiTheme="minorHAnsi" w:hAnsiTheme="minorHAnsi" w:cstheme="minorHAnsi"/>
                <w:color w:val="000000"/>
                <w:lang w:val="hr-HR" w:eastAsia="hr-HR"/>
              </w:rPr>
              <w:t>. sastavni dio Natječaja) te ga popunite u sk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ladu s pojašnjenjima i uputama i</w:t>
            </w:r>
            <w:r w:rsidRPr="0032396E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potpišite</w:t>
            </w:r>
          </w:p>
        </w:tc>
      </w:tr>
      <w:tr w:rsidR="00674F3F" w:rsidRPr="00BA5BE9" w14:paraId="44F35379" w14:textId="77777777" w:rsidTr="0032322B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32322B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2D4265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804107B" w:rsidR="008E6A49" w:rsidRPr="005D4BE4" w:rsidRDefault="00C71A2B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2EEB0" w14:textId="77777777" w:rsidR="005E6CD9" w:rsidRDefault="008E6A49" w:rsidP="0032322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067BAE0F" w:rsidR="008E6A49" w:rsidRPr="0032322B" w:rsidRDefault="008E6A49" w:rsidP="0032322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• Prijava poreza na dohodak za</w:t>
            </w:r>
            <w:r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 xml:space="preserve"> </w:t>
            </w:r>
            <w:r w:rsidR="008F4F37"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 xml:space="preserve">[2017.] </w:t>
            </w:r>
            <w:r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 xml:space="preserve"> 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32322B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 w:rsidRPr="0032322B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32322B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Obrazac </w:t>
            </w:r>
            <w:r w:rsidR="00C302D6" w:rsidRPr="0032322B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razdoblje 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od 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 xml:space="preserve">1. siječnja do 31. prosinca </w:t>
            </w:r>
            <w:r w:rsidR="00921A40"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[2017.]</w:t>
            </w:r>
            <w:r w:rsidR="00921A40"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 w:rsidRPr="0032322B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 w:rsidRPr="0032322B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7965E9A" w14:textId="16BCEC48" w:rsidR="003A468C" w:rsidRPr="005D4BE4" w:rsidRDefault="008E6A49" w:rsidP="0032322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>•  Popis dugotrajne imovine na dan 31.</w:t>
            </w:r>
            <w:r w:rsidR="00595AF3" w:rsidRPr="0032322B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595AF3"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.</w:t>
            </w:r>
            <w:r w:rsidR="00921A40" w:rsidRPr="0032322B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[2017.]</w:t>
            </w:r>
            <w:r w:rsidRPr="0032322B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 w:rsidR="005E6CD9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3A468C"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29647002" w14:textId="77777777" w:rsidR="00BE5058" w:rsidRDefault="008E6A49" w:rsidP="00104BA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0D29BD18" w:rsidR="001F23D1" w:rsidRPr="00BE5058" w:rsidRDefault="008E6A49" w:rsidP="00104BA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E6CD9">
              <w:rPr>
                <w:rFonts w:asciiTheme="minorHAnsi" w:hAnsiTheme="minorHAnsi"/>
                <w:color w:val="000000"/>
                <w:sz w:val="20"/>
                <w:szCs w:val="2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8E6A49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085B556F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="00921A40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[2017.]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3763EE18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</w:t>
            </w:r>
            <w:r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 xml:space="preserve">za </w:t>
            </w:r>
            <w:r w:rsidR="00595AF3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[2017.]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505AD35B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AF6B8D" w:rsidRPr="00BA5BE9" w14:paraId="7FDB8687" w14:textId="77777777" w:rsidTr="00756222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5F915F03" w:rsidR="00AF6B8D" w:rsidRPr="008B5433" w:rsidRDefault="00C71A2B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2A9810E8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0D52FD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</w:t>
            </w:r>
            <w:r w:rsidR="00595AF3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2016</w:t>
            </w:r>
            <w:r w:rsidR="00E55C18" w:rsidRPr="00760585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0D52FD" w:rsidRPr="00760585">
              <w:rPr>
                <w:rFonts w:asciiTheme="minorHAnsi" w:hAnsiTheme="minorHAnsi"/>
                <w:color w:val="000000"/>
                <w:lang w:val="hr-HR" w:eastAsia="hr-HR"/>
              </w:rPr>
              <w:t>]</w:t>
            </w:r>
            <w:r w:rsidRPr="00760585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770AE644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595AF3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.</w:t>
            </w:r>
            <w:r w:rsidR="000D52FD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</w:t>
            </w:r>
            <w:r w:rsidR="00595AF3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201</w:t>
            </w:r>
            <w:r w:rsidR="000D52FD" w:rsidRPr="00760585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6.]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D52F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4AFB216A" w14:textId="77777777" w:rsidR="00E311C1" w:rsidRDefault="000D52FD" w:rsidP="00A94EE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</w:p>
          <w:p w14:paraId="2580E3CE" w14:textId="4371A41E" w:rsidR="007457A6" w:rsidRPr="007457A6" w:rsidRDefault="007457A6" w:rsidP="00045DFE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14:paraId="1B31FDC1" w14:textId="77777777" w:rsidTr="00756222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299E8094" w:rsidR="00AF6B8D" w:rsidRPr="008B5433" w:rsidRDefault="00C71A2B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11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78039559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A94EE7" w:rsidRPr="00756222">
              <w:rPr>
                <w:rFonts w:asciiTheme="minorHAnsi" w:hAnsiTheme="minorHAnsi"/>
                <w:color w:val="000000"/>
                <w:shd w:val="clear" w:color="auto" w:fill="FFFFFF" w:themeFill="background1"/>
                <w:lang w:val="hr-HR" w:eastAsia="hr-HR"/>
              </w:rPr>
              <w:t>[2017.]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6D8B4D6D" w:rsidR="00473E20" w:rsidRPr="00104BA0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 w:rsidR="00104BA0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</w:tbl>
    <w:p w14:paraId="2347280C" w14:textId="77777777" w:rsidR="00367FB3" w:rsidRDefault="00367FB3" w:rsidP="002D4265">
      <w:pPr>
        <w:spacing w:after="0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367FB3" w:rsidRPr="00367FB3" w14:paraId="52938BCA" w14:textId="77777777" w:rsidTr="00367FB3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398A3" w14:textId="62672C7A" w:rsidR="00367FB3" w:rsidRPr="00367FB3" w:rsidRDefault="00367FB3" w:rsidP="00367FB3">
            <w:pPr>
              <w:spacing w:after="0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OSTALA DOKUMENTACIJA</w:t>
            </w:r>
          </w:p>
        </w:tc>
      </w:tr>
      <w:tr w:rsidR="00367FB3" w:rsidRPr="00367FB3" w14:paraId="05B90B87" w14:textId="77777777" w:rsidTr="00367FB3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6B7DA" w14:textId="57EC043E" w:rsidR="00367FB3" w:rsidRPr="00367FB3" w:rsidRDefault="00C71A2B" w:rsidP="00367FB3">
            <w:pPr>
              <w:spacing w:after="0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12</w:t>
            </w:r>
            <w:r w:rsidR="00367FB3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92D6E" w14:textId="77777777" w:rsidR="00367FB3" w:rsidRPr="003A744F" w:rsidRDefault="00367FB3" w:rsidP="00367FB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A744F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POTVRDA O STATUSU ZAPOSLENOSTI/NEZAPOSLENOSTI</w:t>
            </w:r>
          </w:p>
          <w:p w14:paraId="4710C4E7" w14:textId="77777777" w:rsidR="00367FB3" w:rsidRDefault="00367FB3" w:rsidP="00367FB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Potvrda iz matične evidencije Hrvatskog zavoda za mirovinsko osiguranje da je nositelj ili član OPG-a osiguran po poljoprivrednoj osnovi (kao poljoprivrednik) po propisima o mirovinskom osiguranju ili Potvrda o nezaposlenosti iz evidencije nezaposlenih Hrvatskog zavoda za zapošljavanje</w:t>
            </w:r>
          </w:p>
          <w:p w14:paraId="2DCF533D" w14:textId="08FC93A7" w:rsidR="00367FB3" w:rsidRPr="00367FB3" w:rsidRDefault="00367FB3" w:rsidP="00367FB3">
            <w:pPr>
              <w:spacing w:after="0"/>
              <w:rPr>
                <w:rFonts w:asciiTheme="minorHAnsi" w:hAnsiTheme="minorHAnsi"/>
                <w:color w:val="000000"/>
                <w:lang w:val="hr-HR"/>
              </w:rPr>
            </w:pPr>
          </w:p>
        </w:tc>
      </w:tr>
      <w:tr w:rsidR="00367FB3" w14:paraId="66B28D13" w14:textId="77777777" w:rsidTr="00367FB3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C6993" w14:textId="021F52AA" w:rsidR="00367FB3" w:rsidRDefault="00C71A2B" w:rsidP="00367FB3">
            <w:pPr>
              <w:spacing w:after="0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13</w:t>
            </w:r>
            <w:r w:rsidR="00367FB3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AEF04" w14:textId="4184A210" w:rsidR="00367FB3" w:rsidRPr="00367FB3" w:rsidRDefault="00FC20A1" w:rsidP="0029428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D. FAD</w:t>
            </w:r>
            <w:r w:rsidR="00367FB3" w:rsidRPr="00367FB3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N kalkulator</w:t>
            </w:r>
          </w:p>
          <w:p w14:paraId="2AE0324A" w14:textId="77777777" w:rsidR="00367FB3" w:rsidRPr="00367FB3" w:rsidRDefault="00367FB3" w:rsidP="0029428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367FB3">
              <w:rPr>
                <w:rFonts w:asciiTheme="minorHAnsi" w:hAnsiTheme="minorHAnsi" w:cstheme="minorHAnsi"/>
                <w:color w:val="000000"/>
                <w:lang w:val="hr-HR" w:eastAsia="hr-HR"/>
              </w:rPr>
              <w:t>Pojašnjenje: Nositelj projekta mora ispuniti i priložiti FADN kalkulator ako planira ostvarenje cilja „povećanje proizvodnog kapaciteta iskazanom kroz povećanje ukupnog standardnog ekonomskog rezultata“.</w:t>
            </w:r>
          </w:p>
          <w:p w14:paraId="75F5FF72" w14:textId="77777777" w:rsidR="00367FB3" w:rsidRPr="00367FB3" w:rsidRDefault="00367FB3" w:rsidP="0029428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367FB3">
              <w:rPr>
                <w:rFonts w:asciiTheme="minorHAnsi" w:hAnsiTheme="minorHAnsi" w:cstheme="minorHAnsi"/>
                <w:color w:val="000000"/>
                <w:lang w:val="hr-HR" w:eastAsia="hr-HR"/>
              </w:rPr>
              <w:t>Preuzmite predložak FADN kalkulatora (Obrazac D. sastavni dio Natječaja) u excel formatu te ga popunite u skladu s pojašnjenjima i uputama. FADN kalkulator se obavezno dostavlja i u elektroničkom obliku (DVD ili CD s oznakom R:CD/R, DVD/R).</w:t>
            </w:r>
          </w:p>
          <w:p w14:paraId="7955ABF3" w14:textId="77777777" w:rsidR="00367FB3" w:rsidRPr="00367FB3" w:rsidRDefault="00367FB3" w:rsidP="00294286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67FB3">
              <w:rPr>
                <w:rFonts w:asciiTheme="minorHAnsi" w:hAnsiTheme="minorHAnsi" w:cstheme="minorHAnsi"/>
                <w:color w:val="000000"/>
                <w:lang w:val="hr-HR" w:eastAsia="hr-HR"/>
              </w:rPr>
              <w:t>Napomena: U FADN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7BD80D3A" w14:textId="77777777" w:rsidR="00367FB3" w:rsidRPr="005D4BE4" w:rsidRDefault="00367FB3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367FB3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BEA2D" w14:textId="77777777" w:rsidR="00C054E9" w:rsidRDefault="00C054E9" w:rsidP="004348F8">
      <w:pPr>
        <w:spacing w:after="0" w:line="240" w:lineRule="auto"/>
      </w:pPr>
      <w:r>
        <w:separator/>
      </w:r>
    </w:p>
  </w:endnote>
  <w:endnote w:type="continuationSeparator" w:id="0">
    <w:p w14:paraId="4B1752A8" w14:textId="77777777" w:rsidR="00C054E9" w:rsidRDefault="00C054E9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E55B" w14:textId="77777777" w:rsidR="00C054E9" w:rsidRDefault="00C054E9" w:rsidP="004348F8">
      <w:pPr>
        <w:spacing w:after="0" w:line="240" w:lineRule="auto"/>
      </w:pPr>
      <w:r>
        <w:separator/>
      </w:r>
    </w:p>
  </w:footnote>
  <w:footnote w:type="continuationSeparator" w:id="0">
    <w:p w14:paraId="2CFC50D8" w14:textId="77777777" w:rsidR="00C054E9" w:rsidRDefault="00C054E9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2843"/>
    <w:rsid w:val="00045DFE"/>
    <w:rsid w:val="00060F13"/>
    <w:rsid w:val="00064060"/>
    <w:rsid w:val="000659B3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0B58"/>
    <w:rsid w:val="000F7EAE"/>
    <w:rsid w:val="00104BA0"/>
    <w:rsid w:val="00117EFB"/>
    <w:rsid w:val="0012650E"/>
    <w:rsid w:val="00140895"/>
    <w:rsid w:val="00150BBB"/>
    <w:rsid w:val="00156C0B"/>
    <w:rsid w:val="00161555"/>
    <w:rsid w:val="001A7B83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D8C"/>
    <w:rsid w:val="002A7461"/>
    <w:rsid w:val="002B768C"/>
    <w:rsid w:val="002B76F2"/>
    <w:rsid w:val="002C0D84"/>
    <w:rsid w:val="002D4265"/>
    <w:rsid w:val="002D4BBC"/>
    <w:rsid w:val="002F4C74"/>
    <w:rsid w:val="00305FB2"/>
    <w:rsid w:val="00310885"/>
    <w:rsid w:val="0031298D"/>
    <w:rsid w:val="003146BE"/>
    <w:rsid w:val="00320D77"/>
    <w:rsid w:val="00321EA7"/>
    <w:rsid w:val="0032322B"/>
    <w:rsid w:val="0032396E"/>
    <w:rsid w:val="00324184"/>
    <w:rsid w:val="00330A6D"/>
    <w:rsid w:val="0034256C"/>
    <w:rsid w:val="00343079"/>
    <w:rsid w:val="00344BA6"/>
    <w:rsid w:val="003574C2"/>
    <w:rsid w:val="00367FB3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93B45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45B92"/>
    <w:rsid w:val="005816F5"/>
    <w:rsid w:val="00585B75"/>
    <w:rsid w:val="00595912"/>
    <w:rsid w:val="00595AF3"/>
    <w:rsid w:val="005A4EEB"/>
    <w:rsid w:val="005B343A"/>
    <w:rsid w:val="005C6851"/>
    <w:rsid w:val="005D129E"/>
    <w:rsid w:val="005D4BE4"/>
    <w:rsid w:val="005E0A97"/>
    <w:rsid w:val="005E66CE"/>
    <w:rsid w:val="005E6CD9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5256C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2FB6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35500"/>
    <w:rsid w:val="0073656B"/>
    <w:rsid w:val="00745128"/>
    <w:rsid w:val="007457A6"/>
    <w:rsid w:val="00747FE5"/>
    <w:rsid w:val="00752567"/>
    <w:rsid w:val="00756222"/>
    <w:rsid w:val="00760585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1166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050FA"/>
    <w:rsid w:val="00910FA7"/>
    <w:rsid w:val="009117E2"/>
    <w:rsid w:val="00911DEF"/>
    <w:rsid w:val="00914A82"/>
    <w:rsid w:val="00921A40"/>
    <w:rsid w:val="00922FD0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058"/>
    <w:rsid w:val="00BE522A"/>
    <w:rsid w:val="00C054E9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1A2B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B4B4E"/>
    <w:rsid w:val="00FC1B35"/>
    <w:rsid w:val="00FC20A1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2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2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2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2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2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2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0E0B-8E72-40AB-8322-0CFE5C4D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6917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LAG_Renata</cp:lastModifiedBy>
  <cp:revision>2</cp:revision>
  <cp:lastPrinted>2017-11-13T12:43:00Z</cp:lastPrinted>
  <dcterms:created xsi:type="dcterms:W3CDTF">2018-03-21T01:17:00Z</dcterms:created>
  <dcterms:modified xsi:type="dcterms:W3CDTF">2018-03-21T01:17:00Z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